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framePr w:h="1440" w:hAnchor="page" w:hRule="atLeast" w:hSpace="38" w:vAnchor="text" w:wrap="notBeside" w:x="5513" w:y="-307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8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8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</w:rPr>
        <w:t xml:space="preserve"> 1</w:t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08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6"/>
        <w:keepNext w:val="true"/>
        <w:keepLines w:val="true"/>
        <w:pBdr/>
        <w:shd w:val="clear" w:color="auto" w:fill="auto"/>
        <w:spacing w:line="240" w:lineRule="auto"/>
        <w:ind w:right="57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26"/>
        <w:keepNext w:val="true"/>
        <w:keepLines w:val="true"/>
        <w:pBdr/>
        <w:shd w:val="clear" w:color="auto" w:fill="auto"/>
        <w:spacing w:line="240" w:lineRule="auto"/>
        <w:ind w:right="57" w:firstLine="748" w:left="-18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дополнительных мерах по обеспечению бесперебойного движения транспорта и безаварийного функционирования объектов жизнеобеспечения в сложных погодных метеоусловиях на территории Нижнекамского муниципального района</w: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26"/>
        <w:keepNext w:val="true"/>
        <w:keepLines w:val="true"/>
        <w:pBdr/>
        <w:shd w:val="clear" w:color="auto" w:fill="auto"/>
        <w:spacing w:line="240" w:lineRule="auto"/>
        <w:ind w:right="57" w:left="-1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0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населения Нижнекамского муниципального района, </w:t>
      </w:r>
      <w:r>
        <w:rPr>
          <w:sz w:val="28"/>
          <w:szCs w:val="28"/>
        </w:rPr>
        <w:t xml:space="preserve">предупреждения возможных </w:t>
      </w:r>
      <w:r>
        <w:rPr>
          <w:sz w:val="28"/>
          <w:szCs w:val="28"/>
        </w:rPr>
        <w:t xml:space="preserve">чрезвычайных ситуаций</w:t>
      </w:r>
      <w:r>
        <w:rPr>
          <w:sz w:val="28"/>
          <w:szCs w:val="28"/>
        </w:rPr>
        <w:t xml:space="preserve">, 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бесперебой</w:t>
      </w:r>
      <w:r>
        <w:rPr>
          <w:sz w:val="28"/>
          <w:szCs w:val="28"/>
        </w:rPr>
        <w:t xml:space="preserve">ного функционирования объектов </w:t>
      </w:r>
      <w:r>
        <w:rPr>
          <w:sz w:val="28"/>
          <w:szCs w:val="28"/>
        </w:rPr>
        <w:t xml:space="preserve">первоочередного </w:t>
      </w:r>
      <w:r>
        <w:rPr>
          <w:sz w:val="28"/>
          <w:szCs w:val="28"/>
        </w:rPr>
        <w:t xml:space="preserve">жизнеобеспечения</w:t>
      </w:r>
      <w:r>
        <w:rPr>
          <w:sz w:val="28"/>
          <w:szCs w:val="28"/>
        </w:rPr>
        <w:t xml:space="preserve">, объектов социальной сферы, обеспечения пожарной безопасности правопорядка </w:t>
      </w:r>
      <w:r>
        <w:rPr>
          <w:sz w:val="28"/>
          <w:szCs w:val="28"/>
        </w:rPr>
        <w:t xml:space="preserve">на территории Нижнекамского муниципального района, исполнения </w:t>
      </w:r>
      <w:r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распоряжение Комиссии по предупреждению и ликвидации чрезвычайных ситуаций и обеспечению пожарной безопасности Республики Татарс</w:t>
      </w:r>
      <w:r>
        <w:rPr>
          <w:sz w:val="28"/>
          <w:szCs w:val="28"/>
        </w:rPr>
        <w:t xml:space="preserve">тан от 04.01.2026 № 01-26р «О введении плана действия министерств, ведомств и организаций по обеспечению бесперебойного движения автомобильного и железнодорожного транспорта на территории Республики Татарстан в зимний период 2025/2026 годов (план «Буран»)»</w:t>
      </w:r>
      <w:r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Нижнекамского муниципального района </w:t>
      </w:r>
      <w:r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1303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оперативного плана «Буран», вводимого на территории муниципального образования «Нижнекамский муниципальный район» Республики Татарстан, на зимний период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Комиссия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</w:t>
      </w:r>
      <w:r>
        <w:rPr>
          <w:sz w:val="28"/>
          <w:szCs w:val="28"/>
        </w:rPr>
        <w:t xml:space="preserve">он» Республики Татарстан </w:t>
      </w:r>
      <w:r>
        <w:rPr>
          <w:b/>
          <w:bCs/>
          <w:sz w:val="28"/>
          <w:szCs w:val="28"/>
        </w:rPr>
        <w:t xml:space="preserve">решила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90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для органов управления,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звена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ториальной подсистемы предупреждения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» января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до особого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режим «Повышенная готовность»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план «Буран»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numPr>
          <w:ilvl w:val="0"/>
          <w:numId w:val="1"/>
        </w:numPr>
        <w:pBdr/>
        <w:tabs>
          <w:tab w:val="left" w:leader="none" w:pos="360"/>
          <w:tab w:val="left" w:leader="none" w:pos="900"/>
        </w:tabs>
        <w:spacing w:line="312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аместителю председателя КЧС и ОПБ - </w:t>
      </w:r>
      <w:r>
        <w:rPr>
          <w:color w:val="000000"/>
          <w:sz w:val="28"/>
          <w:szCs w:val="28"/>
        </w:rPr>
        <w:t xml:space="preserve">Заместителю Руководителя Исполнительного комитета Нижнекамского муниципального района </w:t>
      </w:r>
      <w:r>
        <w:rPr>
          <w:color w:val="000000"/>
          <w:sz w:val="28"/>
          <w:szCs w:val="28"/>
        </w:rPr>
        <w:t xml:space="preserve">Парамонову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pStyle w:val="716"/>
        <w:pBdr/>
        <w:tabs>
          <w:tab w:val="left" w:leader="none" w:pos="360"/>
          <w:tab w:val="left" w:leader="none" w:pos="900"/>
        </w:tabs>
        <w:spacing w:line="312" w:lineRule="exact"/>
        <w:ind w:right="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случае необходимости </w:t>
      </w:r>
      <w:r>
        <w:rPr>
          <w:color w:val="000000"/>
          <w:sz w:val="28"/>
          <w:szCs w:val="28"/>
        </w:rPr>
        <w:t xml:space="preserve">организовать работу оперативного штаба К</w:t>
      </w:r>
      <w:r>
        <w:rPr>
          <w:color w:val="000000"/>
          <w:sz w:val="28"/>
          <w:szCs w:val="28"/>
        </w:rPr>
        <w:t xml:space="preserve">омиссии по </w:t>
      </w:r>
      <w:r>
        <w:rPr>
          <w:color w:val="000000"/>
          <w:sz w:val="28"/>
          <w:szCs w:val="28"/>
        </w:rPr>
        <w:t xml:space="preserve">ЧС</w:t>
      </w:r>
      <w:r>
        <w:rPr>
          <w:color w:val="000000"/>
          <w:sz w:val="28"/>
          <w:szCs w:val="28"/>
        </w:rPr>
        <w:t xml:space="preserve"> и ОПБ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6"/>
        <w:pBdr/>
        <w:tabs>
          <w:tab w:val="left" w:leader="none" w:pos="360"/>
          <w:tab w:val="left" w:leader="none" w:pos="900"/>
        </w:tabs>
        <w:spacing w:line="312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определить необходимое количество привлекаемой снегоуборочной техники при введении плана «Буран»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произвести закрепление привлекаемых предприятий за уличными </w:t>
      </w:r>
      <w:r>
        <w:rPr>
          <w:color w:val="000000"/>
          <w:sz w:val="28"/>
          <w:szCs w:val="28"/>
        </w:rPr>
        <w:t xml:space="preserve">магистралями города Нижнекамска;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обследование мест возможного схода снежных масс и своевременно про</w:t>
      </w:r>
      <w:r>
        <w:rPr>
          <w:rFonts w:ascii="Times New Roman" w:hAnsi="Times New Roman" w:cs="Times New Roman"/>
          <w:sz w:val="28"/>
          <w:szCs w:val="28"/>
        </w:rPr>
        <w:t xml:space="preserve">водить их искусственный обвал с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numPr>
          <w:ilvl w:val="0"/>
          <w:numId w:val="1"/>
        </w:numPr>
        <w:pBdr/>
        <w:tabs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 xml:space="preserve">У «ДЕЗ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Ситдико</w:t>
      </w:r>
      <w:r>
        <w:rPr>
          <w:rFonts w:ascii="Times New Roman" w:hAnsi="Times New Roman" w:cs="Times New Roman"/>
          <w:sz w:val="28"/>
          <w:szCs w:val="28"/>
        </w:rPr>
        <w:t xml:space="preserve">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.Р.),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«КПБ» (Закиров А.А.),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иректор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У «Департамент строительства, жилищно-коммунального хозяйства и благо</w:t>
      </w:r>
      <w:r>
        <w:rPr>
          <w:rFonts w:ascii="Times New Roman" w:hAnsi="Times New Roman" w:cs="Times New Roman"/>
          <w:sz w:val="28"/>
          <w:szCs w:val="28"/>
        </w:rPr>
        <w:t xml:space="preserve">устройства города Нижнекамска»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Баланд</w:t>
      </w:r>
      <w:r>
        <w:rPr>
          <w:rFonts w:ascii="Times New Roman" w:hAnsi="Times New Roman" w:cs="Times New Roman"/>
          <w:sz w:val="28"/>
          <w:szCs w:val="28"/>
        </w:rPr>
        <w:t xml:space="preserve">ин </w:t>
      </w:r>
      <w:r>
        <w:rPr>
          <w:rFonts w:ascii="Times New Roman" w:hAnsi="Times New Roman" w:cs="Times New Roman"/>
          <w:sz w:val="28"/>
          <w:szCs w:val="28"/>
        </w:rPr>
        <w:t xml:space="preserve">Д.И.</w:t>
      </w:r>
      <w:r>
        <w:rPr>
          <w:rFonts w:ascii="Times New Roman" w:hAnsi="Times New Roman" w:cs="Times New Roman"/>
          <w:sz w:val="28"/>
          <w:szCs w:val="28"/>
        </w:rPr>
        <w:t xml:space="preserve">) совместно с руководителями управляющих компаний ЖКХ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00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осуществить комплекс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ликвидации </w:t>
      </w:r>
      <w:r>
        <w:rPr>
          <w:rFonts w:ascii="Times New Roman" w:hAnsi="Times New Roman" w:cs="Times New Roman"/>
          <w:sz w:val="28"/>
          <w:szCs w:val="28"/>
        </w:rPr>
        <w:t xml:space="preserve">снежных заносов и </w:t>
      </w:r>
      <w:r>
        <w:rPr>
          <w:rFonts w:ascii="Times New Roman" w:hAnsi="Times New Roman" w:cs="Times New Roman"/>
          <w:sz w:val="28"/>
          <w:szCs w:val="28"/>
        </w:rPr>
        <w:t xml:space="preserve">гололед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магистральных </w:t>
      </w:r>
      <w:r>
        <w:rPr>
          <w:rFonts w:ascii="Times New Roman" w:hAnsi="Times New Roman" w:cs="Times New Roman"/>
          <w:sz w:val="28"/>
          <w:szCs w:val="28"/>
        </w:rPr>
        <w:t xml:space="preserve">улиц города,</w:t>
      </w:r>
      <w:r>
        <w:rPr>
          <w:rFonts w:ascii="Times New Roman" w:hAnsi="Times New Roman" w:cs="Times New Roman"/>
          <w:sz w:val="28"/>
          <w:szCs w:val="28"/>
        </w:rPr>
        <w:t xml:space="preserve"> и внутриквартальных дорог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 xml:space="preserve"> -</w:t>
      </w:r>
      <w:r>
        <w:rPr>
          <w:rFonts w:ascii="Times New Roman" w:hAnsi="Times New Roman" w:cs="Times New Roman"/>
          <w:sz w:val="28"/>
          <w:szCs w:val="20"/>
        </w:rPr>
        <w:t xml:space="preserve">о</w:t>
      </w:r>
      <w:r>
        <w:rPr>
          <w:rFonts w:ascii="Times New Roman" w:hAnsi="Times New Roman" w:cs="Times New Roman"/>
          <w:sz w:val="28"/>
          <w:szCs w:val="20"/>
        </w:rPr>
        <w:t xml:space="preserve">рганизовать работу с руководителями коммунальных служб, управляющих компаний, собственниками и балансодержателями зданий и сооружений по обеспечению своевременной очистки от снега и наледи кровли жилых домов и административных зданий, широкоформатных р</w:t>
      </w:r>
      <w:r>
        <w:rPr>
          <w:rFonts w:ascii="Times New Roman" w:hAnsi="Times New Roman" w:cs="Times New Roman"/>
          <w:sz w:val="28"/>
          <w:szCs w:val="20"/>
        </w:rPr>
        <w:t xml:space="preserve">екламных конструкций и баннеров.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708"/>
        <w:numPr>
          <w:ilvl w:val="1"/>
          <w:numId w:val="1"/>
        </w:numPr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4. </w:t>
      </w:r>
      <w:r>
        <w:rPr>
          <w:rFonts w:ascii="Times New Roman" w:hAnsi="Times New Roman" w:cs="Times New Roman"/>
          <w:sz w:val="28"/>
          <w:szCs w:val="20"/>
        </w:rPr>
        <w:t xml:space="preserve">Управлению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по поддержке и развитию предпринимательства</w:t>
      </w:r>
      <w: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Исполнительного комитета Нижнекамского муниципального района</w:t>
      </w:r>
      <w:r>
        <w:rPr>
          <w:rFonts w:ascii="Times New Roman" w:hAnsi="Times New Roman" w:cs="Times New Roman"/>
          <w:sz w:val="28"/>
          <w:szCs w:val="20"/>
        </w:rPr>
        <w:t xml:space="preserve"> (Сираев И.Р.) организовать работу с учреждениями торговли по </w:t>
      </w:r>
      <w:r>
        <w:rPr>
          <w:rFonts w:ascii="Times New Roman" w:hAnsi="Times New Roman" w:cs="Times New Roman"/>
          <w:sz w:val="28"/>
          <w:szCs w:val="20"/>
        </w:rPr>
        <w:t xml:space="preserve">необходимости к </w:t>
      </w:r>
      <w:r>
        <w:rPr>
          <w:rFonts w:ascii="Times New Roman" w:hAnsi="Times New Roman" w:cs="Times New Roman"/>
          <w:sz w:val="28"/>
          <w:szCs w:val="20"/>
        </w:rPr>
        <w:t xml:space="preserve">обеспечению горячим питанием</w:t>
      </w:r>
      <w:r>
        <w:rPr>
          <w:rFonts w:ascii="Times New Roman" w:hAnsi="Times New Roman" w:cs="Times New Roman"/>
          <w:sz w:val="28"/>
          <w:szCs w:val="20"/>
        </w:rPr>
        <w:t xml:space="preserve"> водителей и пассажиров автотранспорта находящихся </w:t>
      </w:r>
      <w:r>
        <w:rPr>
          <w:rFonts w:ascii="Times New Roman" w:hAnsi="Times New Roman" w:cs="Times New Roman"/>
          <w:sz w:val="28"/>
          <w:szCs w:val="20"/>
        </w:rPr>
        <w:t xml:space="preserve">автомобильных заторах.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708"/>
        <w:numPr>
          <w:ilvl w:val="1"/>
          <w:numId w:val="1"/>
        </w:numPr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5. </w:t>
      </w:r>
      <w:r>
        <w:rPr>
          <w:rFonts w:ascii="Times New Roman" w:hAnsi="Times New Roman" w:cs="Times New Roman"/>
          <w:sz w:val="28"/>
          <w:szCs w:val="20"/>
        </w:rPr>
        <w:t xml:space="preserve">Руководителям автотранспортных предприятий города АО «Нижнекамское ПАТП-1</w:t>
      </w:r>
      <w:r>
        <w:rPr>
          <w:rFonts w:ascii="Times New Roman" w:hAnsi="Times New Roman" w:cs="Times New Roman"/>
          <w:sz w:val="28"/>
          <w:szCs w:val="20"/>
        </w:rPr>
        <w:t xml:space="preserve">» (Галиахметов М.А.), ООО «Нижнекамское ПАТП» (Иванов Ю.Г.), запланировать выделение автотранспорта для организации дополнительных мобильных</w:t>
      </w:r>
      <w:r>
        <w:rPr>
          <w:rFonts w:ascii="Times New Roman" w:hAnsi="Times New Roman" w:cs="Times New Roman"/>
          <w:sz w:val="28"/>
          <w:szCs w:val="20"/>
        </w:rPr>
        <w:t xml:space="preserve"> пунктов обогрева</w:t>
      </w:r>
      <w:r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 xml:space="preserve">в случаях</w:t>
      </w:r>
      <w:r>
        <w:rPr>
          <w:rFonts w:ascii="Times New Roman" w:hAnsi="Times New Roman" w:cs="Times New Roman"/>
          <w:sz w:val="28"/>
          <w:szCs w:val="20"/>
        </w:rPr>
        <w:t xml:space="preserve"> проведения аварийно-эвакуационных мероприятий.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708"/>
        <w:numPr>
          <w:ilvl w:val="1"/>
          <w:numId w:val="1"/>
        </w:numPr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6</w:t>
      </w:r>
      <w:r>
        <w:rPr>
          <w:rFonts w:ascii="Times New Roman" w:hAnsi="Times New Roman" w:cs="Times New Roman"/>
          <w:sz w:val="28"/>
          <w:szCs w:val="20"/>
        </w:rPr>
        <w:t xml:space="preserve">.</w:t>
        <w:tab/>
      </w:r>
      <w:r>
        <w:rPr>
          <w:rFonts w:ascii="Times New Roman" w:hAnsi="Times New Roman" w:cs="Times New Roman"/>
          <w:sz w:val="28"/>
          <w:szCs w:val="20"/>
        </w:rPr>
        <w:t xml:space="preserve">Заместителю Руководителя Исполнительного комитета Нижнекамского муниципального района </w:t>
      </w:r>
      <w:r>
        <w:rPr>
          <w:rFonts w:ascii="Times New Roman" w:hAnsi="Times New Roman" w:cs="Times New Roman"/>
          <w:sz w:val="28"/>
          <w:szCs w:val="20"/>
        </w:rPr>
        <w:t xml:space="preserve">Са</w:t>
      </w:r>
      <w:r>
        <w:rPr>
          <w:rFonts w:ascii="Times New Roman" w:hAnsi="Times New Roman" w:cs="Times New Roman"/>
          <w:sz w:val="28"/>
          <w:szCs w:val="20"/>
        </w:rPr>
        <w:t xml:space="preserve">йфутдинов</w:t>
      </w:r>
      <w:r>
        <w:rPr>
          <w:rFonts w:ascii="Times New Roman" w:hAnsi="Times New Roman" w:cs="Times New Roman"/>
          <w:sz w:val="28"/>
          <w:szCs w:val="20"/>
        </w:rPr>
        <w:t xml:space="preserve">у А.Р.: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спланировать </w:t>
      </w:r>
      <w:r>
        <w:rPr>
          <w:rFonts w:ascii="Times New Roman" w:hAnsi="Times New Roman" w:cs="Times New Roman"/>
          <w:sz w:val="28"/>
          <w:szCs w:val="28"/>
        </w:rPr>
        <w:t xml:space="preserve">работу стационарн</w:t>
      </w:r>
      <w:r>
        <w:rPr>
          <w:rFonts w:ascii="Times New Roman" w:hAnsi="Times New Roman" w:cs="Times New Roman"/>
          <w:sz w:val="28"/>
          <w:szCs w:val="28"/>
        </w:rPr>
        <w:t xml:space="preserve">ых и мобильных пунктов обогрева.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Директору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 xml:space="preserve">У «ДЕЗ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(Ситдиков Р.Р.)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ООО</w:t>
      </w:r>
      <w:r>
        <w:rPr>
          <w:rFonts w:ascii="Times New Roman" w:hAnsi="Times New Roman" w:cs="Times New Roman"/>
          <w:sz w:val="28"/>
          <w:szCs w:val="28"/>
        </w:rPr>
        <w:t xml:space="preserve"> «Комплексное предприятие благоустройства г. Нижнекамска»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Закир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А.А.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с</w:t>
      </w:r>
      <w:r>
        <w:rPr>
          <w:rFonts w:ascii="Times New Roman" w:hAnsi="Times New Roman" w:cs="Times New Roman"/>
          <w:sz w:val="28"/>
          <w:szCs w:val="28"/>
        </w:rPr>
        <w:t xml:space="preserve">лучае </w:t>
      </w:r>
      <w:r>
        <w:rPr>
          <w:rFonts w:ascii="Times New Roman" w:hAnsi="Times New Roman" w:cs="Times New Roman"/>
          <w:sz w:val="28"/>
          <w:szCs w:val="28"/>
        </w:rPr>
        <w:t xml:space="preserve">осложнении метеорологических явлений внести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корректировки в список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поставщиков техники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задействованных по Плану</w:t>
      </w:r>
      <w:r>
        <w:rPr>
          <w:rFonts w:ascii="Times New Roman" w:hAnsi="Times New Roman" w:cs="Times New Roman"/>
          <w:sz w:val="28"/>
          <w:szCs w:val="28"/>
        </w:rPr>
        <w:t xml:space="preserve"> «Буран».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  <w:tab/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Главам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Нижнекамского муниципального района</w:t>
      </w:r>
      <w:r>
        <w:rPr>
          <w:rFonts w:ascii="Times New Roman" w:hAnsi="Times New Roman" w:cs="Times New Roman"/>
          <w:sz w:val="28"/>
          <w:szCs w:val="20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пгт. Камские Поляны: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-проводить постоянный мониторинг состояния автомобильных дорог и электроснабжения населенных пунктов,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постоянное взаимодействие ЕДДС НМР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-принять меры по очистке дорог от </w:t>
      </w:r>
      <w:r>
        <w:rPr>
          <w:rFonts w:ascii="Times New Roman" w:hAnsi="Times New Roman" w:cs="Times New Roman"/>
          <w:sz w:val="28"/>
          <w:szCs w:val="28"/>
        </w:rPr>
        <w:t xml:space="preserve">снежных заносов и </w:t>
      </w:r>
      <w:r>
        <w:rPr>
          <w:rFonts w:ascii="Times New Roman" w:hAnsi="Times New Roman" w:cs="Times New Roman"/>
          <w:sz w:val="28"/>
          <w:szCs w:val="28"/>
        </w:rPr>
        <w:t xml:space="preserve">наледи</w:t>
      </w:r>
      <w:r>
        <w:rPr>
          <w:rFonts w:ascii="Times New Roman" w:hAnsi="Times New Roman" w:cs="Times New Roman"/>
          <w:sz w:val="28"/>
          <w:szCs w:val="28"/>
        </w:rPr>
        <w:t xml:space="preserve"> на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рогах внутри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обследование мест возможного схода снежных масс и своевременно про</w:t>
      </w:r>
      <w:r>
        <w:rPr>
          <w:rFonts w:ascii="Times New Roman" w:hAnsi="Times New Roman" w:cs="Times New Roman"/>
          <w:sz w:val="28"/>
          <w:szCs w:val="28"/>
        </w:rPr>
        <w:t xml:space="preserve">водить их искусственный обвал с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гт.</w:t>
      </w:r>
      <w:r>
        <w:rPr>
          <w:rFonts w:ascii="Times New Roman" w:hAnsi="Times New Roman" w:cs="Times New Roman"/>
          <w:sz w:val="28"/>
          <w:szCs w:val="28"/>
        </w:rPr>
        <w:t xml:space="preserve"> Камские </w:t>
      </w:r>
      <w:r>
        <w:rPr>
          <w:rFonts w:ascii="Times New Roman" w:hAnsi="Times New Roman" w:cs="Times New Roman"/>
          <w:sz w:val="28"/>
          <w:szCs w:val="28"/>
        </w:rPr>
        <w:t xml:space="preserve">Поляны» </w:t>
      </w:r>
      <w:r>
        <w:rPr>
          <w:rFonts w:ascii="Times New Roman" w:hAnsi="Times New Roman" w:cs="Times New Roman"/>
          <w:sz w:val="28"/>
          <w:szCs w:val="28"/>
        </w:rPr>
        <w:t xml:space="preserve">(Павлов А.А.)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 осложнении метеорологических явлений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необходимое количество привлекаемой техники для уборки и вывоза сн</w:t>
      </w:r>
      <w:r>
        <w:rPr>
          <w:rFonts w:ascii="Times New Roman" w:hAnsi="Times New Roman" w:cs="Times New Roman"/>
          <w:sz w:val="28"/>
          <w:szCs w:val="28"/>
        </w:rPr>
        <w:t xml:space="preserve">ега при введении плана «Буран».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Реком</w:t>
      </w:r>
      <w:r>
        <w:rPr>
          <w:rFonts w:ascii="Times New Roman" w:hAnsi="Times New Roman" w:cs="Times New Roman"/>
          <w:sz w:val="28"/>
          <w:szCs w:val="28"/>
        </w:rPr>
        <w:t xml:space="preserve">ендовать Нижнекамскому филиалу </w:t>
      </w:r>
      <w:r>
        <w:rPr>
          <w:rFonts w:ascii="Times New Roman" w:hAnsi="Times New Roman" w:cs="Times New Roman"/>
          <w:sz w:val="28"/>
          <w:szCs w:val="28"/>
        </w:rPr>
        <w:t xml:space="preserve">АО «Татавтодор</w:t>
      </w:r>
      <w:r>
        <w:rPr>
          <w:rFonts w:ascii="Times New Roman" w:hAnsi="Times New Roman" w:cs="Times New Roman"/>
          <w:sz w:val="28"/>
          <w:szCs w:val="28"/>
        </w:rPr>
        <w:t xml:space="preserve">» (</w:t>
      </w:r>
      <w:r>
        <w:rPr>
          <w:rFonts w:ascii="Times New Roman" w:hAnsi="Times New Roman" w:cs="Times New Roman"/>
          <w:sz w:val="28"/>
          <w:szCs w:val="28"/>
        </w:rPr>
        <w:t xml:space="preserve">Ямалиев </w:t>
      </w:r>
      <w:r>
        <w:rPr>
          <w:rFonts w:ascii="Times New Roman" w:hAnsi="Times New Roman" w:cs="Times New Roman"/>
          <w:sz w:val="28"/>
          <w:szCs w:val="28"/>
        </w:rPr>
        <w:t xml:space="preserve">З.Ф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перевести водительских состав и технический персонал на усиленный режим работы и принять меры по обеспечению бесперебойного движ</w:t>
      </w:r>
      <w:r>
        <w:rPr>
          <w:rFonts w:ascii="Times New Roman" w:hAnsi="Times New Roman" w:cs="Times New Roman"/>
          <w:sz w:val="28"/>
          <w:szCs w:val="28"/>
        </w:rPr>
        <w:t xml:space="preserve">ения автомобильного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Исполнительного комитета Нижне</w:t>
      </w:r>
      <w:r>
        <w:rPr>
          <w:rFonts w:ascii="Times New Roman" w:hAnsi="Times New Roman" w:cs="Times New Roman"/>
          <w:sz w:val="28"/>
          <w:szCs w:val="28"/>
        </w:rPr>
        <w:t xml:space="preserve">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Гарифуллин А.Х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запретить до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 января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перевозку детей </w:t>
      </w:r>
      <w:r>
        <w:rPr>
          <w:rFonts w:ascii="Times New Roman" w:hAnsi="Times New Roman" w:cs="Times New Roman"/>
          <w:sz w:val="28"/>
          <w:szCs w:val="28"/>
        </w:rPr>
        <w:t xml:space="preserve">школьны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автобус</w:t>
      </w:r>
      <w:r>
        <w:rPr>
          <w:rFonts w:ascii="Times New Roman" w:hAnsi="Times New Roman" w:cs="Times New Roman"/>
          <w:sz w:val="28"/>
          <w:szCs w:val="28"/>
        </w:rPr>
        <w:t xml:space="preserve">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организаций, привлекаемых по плану «Буран», </w:t>
      </w:r>
      <w:r>
        <w:rPr>
          <w:rFonts w:ascii="Times New Roman" w:hAnsi="Times New Roman" w:cs="Times New Roman"/>
          <w:sz w:val="28"/>
          <w:szCs w:val="28"/>
        </w:rPr>
        <w:t xml:space="preserve">быть готовым </w:t>
      </w:r>
      <w:r>
        <w:rPr>
          <w:rFonts w:ascii="Times New Roman" w:hAnsi="Times New Roman" w:cs="Times New Roman"/>
          <w:sz w:val="28"/>
          <w:szCs w:val="28"/>
        </w:rPr>
        <w:t xml:space="preserve">выдел</w:t>
      </w:r>
      <w:r>
        <w:rPr>
          <w:rFonts w:ascii="Times New Roman" w:hAnsi="Times New Roman" w:cs="Times New Roman"/>
          <w:sz w:val="28"/>
          <w:szCs w:val="28"/>
        </w:rPr>
        <w:t xml:space="preserve"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очистки улиц города и вывоза снега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tabs>
          <w:tab w:val="left" w:leader="none" w:pos="969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по бюджету и финансам муниципального образования «Нижнекамский муниципальный район» Республики Татарстан (Логинова С.Н.):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widowControl w:val="false"/>
        <w:pBdr/>
        <w:tabs>
          <w:tab w:val="left" w:leader="none" w:pos="900"/>
        </w:tabs>
        <w:spacing w:line="317" w:lineRule="exact"/>
        <w:ind w:right="20" w:firstLine="709"/>
        <w:jc w:val="both"/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предусмотреть выделение денежных средств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из резервного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фонда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</w:rPr>
        <w:t xml:space="preserve">Нижнекамского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муниципального района для компенсации затрат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по привлечению дополнительной снегоуборочной техники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согласно Плана «Буран»;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</w:p>
    <w:p>
      <w:pPr>
        <w:pStyle w:val="708"/>
        <w:widowControl w:val="false"/>
        <w:pBdr/>
        <w:tabs>
          <w:tab w:val="left" w:leader="none" w:pos="900"/>
        </w:tabs>
        <w:spacing w:line="317" w:lineRule="exact"/>
        <w:ind w:right="20" w:firstLine="709"/>
        <w:jc w:val="both"/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pP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-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предусмотреть выделение денежных средств из резервного фонда Нижнекамского муниципального района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Республики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</w:rPr>
        <w:t xml:space="preserve">Татарстан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на проведение работ по ликвидации смежных заносов и вывоза снега с территории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г. Нижнекамска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, муниципального образования «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пгт.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Камские Поляны»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,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сельских поселений Нижнекамского муниципального района,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привлечению дополнительной снегоуборочной техники.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</w:p>
    <w:p>
      <w:pPr>
        <w:pStyle w:val="708"/>
        <w:widowControl w:val="false"/>
        <w:pBdr/>
        <w:tabs>
          <w:tab w:val="left" w:leader="none" w:pos="900"/>
        </w:tabs>
        <w:spacing w:line="317" w:lineRule="exact"/>
        <w:ind w:right="20" w:firstLine="709"/>
        <w:jc w:val="both"/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pP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14.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В рамках реализации пунктов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1,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10,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11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настоящего распоряжения Муниципальному бюджетному учреждению «Дирекция единого заказчика города Нижнекамска»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(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Ситдик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ов Р.Р.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)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обеспечить заключение договоров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с организациями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, с целью компенсации затрат по привлечению дополнительной снегоуб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орочной техники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, затрат на обеспечение горячим питанием и ГСМ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  <w:t xml:space="preserve">, при условии поступления от них соответствующего заявления.</w:t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  <w:r>
        <w:rPr>
          <w:rFonts w:ascii="Times New Roman" w:hAnsi="Times New Roman" w:eastAsia="Arial Unicode MS" w:cs="Times New Roman"/>
          <w:sz w:val="28"/>
          <w:szCs w:val="28"/>
          <w:shd w:val="clear" w:color="auto" w:fill="ffffff"/>
          <w:lang w:val="ru"/>
        </w:rPr>
      </w:r>
    </w:p>
    <w:p>
      <w:pPr>
        <w:pStyle w:val="708"/>
        <w:pBdr/>
        <w:tabs>
          <w:tab w:val="left" w:leader="none" w:pos="900"/>
        </w:tabs>
        <w:spacing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</w:t>
      </w:r>
      <w:r>
        <w:rPr>
          <w:rFonts w:ascii="Times New Roman" w:hAnsi="Times New Roman" w:cs="Times New Roman"/>
          <w:sz w:val="28"/>
          <w:szCs w:val="28"/>
        </w:rPr>
        <w:t xml:space="preserve">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pBdr/>
        <w:spacing/>
        <w:ind w:right="4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8"/>
        <w:pBdr/>
        <w:spacing/>
        <w:ind w:right="4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8"/>
        <w:pBdr/>
        <w:spacing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- Руководитель Исполнительного комитета Нижнекамского     муниципального     района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8"/>
        <w:pBdr/>
        <w:spacing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Р.М. Латыпов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h="16837" w:orient="portrait" w:w="11905"/>
      <w:pgMar w:top="993" w:right="706" w:bottom="709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Microsoft Sans Serif">
    <w:panose1 w:val="020B0604020202020204"/>
  </w:font>
  <w:font w:name="Sylfaen">
    <w:panose1 w:val="010A0502050306030303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1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2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3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4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5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6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7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8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2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3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4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5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6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7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8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617"/>
        </w:tabs>
        <w:spacing/>
        <w:ind w:hanging="990" w:left="1617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631"/>
        </w:tabs>
        <w:spacing/>
        <w:ind w:firstLine="567" w:left="78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427"/>
        </w:tabs>
        <w:spacing/>
        <w:ind w:hanging="180" w:left="24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147"/>
        </w:tabs>
        <w:spacing/>
        <w:ind w:hanging="360" w:left="31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67"/>
        </w:tabs>
        <w:spacing/>
        <w:ind w:hanging="360" w:left="38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87"/>
        </w:tabs>
        <w:spacing/>
        <w:ind w:hanging="180" w:left="45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07"/>
        </w:tabs>
        <w:spacing/>
        <w:ind w:hanging="360" w:left="53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027"/>
        </w:tabs>
        <w:spacing/>
        <w:ind w:hanging="360" w:left="60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747"/>
        </w:tabs>
        <w:spacing/>
        <w:ind w:hanging="180" w:left="674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75" w:left="943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1049"/>
        </w:tabs>
        <w:spacing/>
        <w:ind w:hanging="341" w:left="1049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94"/>
        </w:tabs>
        <w:spacing/>
        <w:ind w:hanging="360" w:left="16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14"/>
        </w:tabs>
        <w:spacing/>
        <w:ind w:hanging="360" w:left="24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34"/>
        </w:tabs>
        <w:spacing/>
        <w:ind w:hanging="360" w:left="31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54"/>
        </w:tabs>
        <w:spacing/>
        <w:ind w:hanging="360" w:left="38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74"/>
        </w:tabs>
        <w:spacing/>
        <w:ind w:hanging="360" w:left="45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94"/>
        </w:tabs>
        <w:spacing/>
        <w:ind w:hanging="360" w:left="52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14"/>
        </w:tabs>
        <w:spacing/>
        <w:ind w:hanging="360" w:left="60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34"/>
        </w:tabs>
        <w:spacing/>
        <w:ind w:hanging="360" w:left="673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>
        <w:lang w:val="ru-RU"/>
      </w:rPr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98"/>
        </w:tabs>
        <w:spacing/>
        <w:ind w:hanging="360" w:left="12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18"/>
        </w:tabs>
        <w:spacing/>
        <w:ind w:hanging="180" w:left="20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738"/>
        </w:tabs>
        <w:spacing/>
        <w:ind w:hanging="360" w:left="27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458"/>
        </w:tabs>
        <w:spacing/>
        <w:ind w:hanging="360" w:left="34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178"/>
        </w:tabs>
        <w:spacing/>
        <w:ind w:hanging="180" w:left="41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98"/>
        </w:tabs>
        <w:spacing/>
        <w:ind w:hanging="360" w:left="48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18"/>
        </w:tabs>
        <w:spacing/>
        <w:ind w:hanging="360" w:left="56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338"/>
        </w:tabs>
        <w:spacing/>
        <w:ind w:hanging="180" w:left="6338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space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16"/>
  </w:num>
  <w:num w:numId="5">
    <w:abstractNumId w:val="14"/>
  </w:num>
  <w:num w:numId="6">
    <w:abstractNumId w:val="4"/>
  </w:num>
  <w:num w:numId="7">
    <w:abstractNumId w:val="3"/>
  </w:num>
  <w:num w:numId="8">
    <w:abstractNumId w:val="17"/>
  </w:num>
  <w:num w:numId="9">
    <w:abstractNumId w:val="20"/>
  </w:num>
  <w:num w:numId="10">
    <w:abstractNumId w:val="19"/>
  </w:num>
  <w:num w:numId="11">
    <w:abstractNumId w:val="21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5"/>
  </w:num>
  <w:num w:numId="17">
    <w:abstractNumId w:val="15"/>
  </w:num>
  <w:num w:numId="18">
    <w:abstractNumId w:val="22"/>
  </w:num>
  <w:num w:numId="19">
    <w:abstractNumId w:val="10"/>
  </w:num>
  <w:num w:numId="20">
    <w:abstractNumId w:val="0"/>
  </w:num>
  <w:num w:numId="21">
    <w:abstractNumId w:val="1"/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8"/>
    <w:next w:val="70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8"/>
    <w:next w:val="70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8"/>
    <w:next w:val="70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8"/>
    <w:next w:val="70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8"/>
    <w:next w:val="70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8"/>
    <w:next w:val="70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8"/>
    <w:next w:val="70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8"/>
    <w:next w:val="70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8"/>
    <w:next w:val="70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8"/>
    <w:next w:val="70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8"/>
    <w:next w:val="70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89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0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1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2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3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4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5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6">
    <w:name w:val="toc 9"/>
    <w:basedOn w:val="708"/>
    <w:next w:val="70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next w:val="708"/>
    <w:link w:val="708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9">
    <w:name w:val="Основной шрифт абзаца"/>
    <w:next w:val="709"/>
    <w:link w:val="708"/>
    <w:uiPriority w:val="1"/>
    <w:unhideWhenUsed/>
    <w:pPr>
      <w:pBdr/>
      <w:spacing/>
      <w:ind/>
    </w:pPr>
  </w:style>
  <w:style w:type="table" w:styleId="710">
    <w:name w:val="Обычная таблица"/>
    <w:next w:val="710"/>
    <w:link w:val="70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>
    <w:name w:val="Нет списка"/>
    <w:next w:val="711"/>
    <w:link w:val="708"/>
    <w:uiPriority w:val="99"/>
    <w:semiHidden/>
    <w:unhideWhenUsed/>
    <w:pPr>
      <w:pBdr/>
      <w:spacing/>
      <w:ind/>
    </w:pPr>
  </w:style>
  <w:style w:type="character" w:styleId="712">
    <w:name w:val="Заголовок №1_"/>
    <w:next w:val="712"/>
    <w:link w:val="714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13">
    <w:name w:val="Основной текст_"/>
    <w:next w:val="713"/>
    <w:link w:val="715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14">
    <w:name w:val="Заголовок №1"/>
    <w:basedOn w:val="708"/>
    <w:next w:val="714"/>
    <w:link w:val="71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5">
    <w:name w:val="Основной текст2"/>
    <w:basedOn w:val="708"/>
    <w:next w:val="715"/>
    <w:link w:val="71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6">
    <w:name w:val="Основной текст"/>
    <w:basedOn w:val="708"/>
    <w:next w:val="716"/>
    <w:link w:val="717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7">
    <w:name w:val="Основной текст Знак"/>
    <w:next w:val="717"/>
    <w:link w:val="71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8">
    <w:name w:val="Абзац списка"/>
    <w:basedOn w:val="708"/>
    <w:next w:val="718"/>
    <w:link w:val="708"/>
    <w:uiPriority w:val="34"/>
    <w:qFormat/>
    <w:pPr>
      <w:pBdr/>
      <w:spacing/>
      <w:ind w:left="708"/>
    </w:pPr>
  </w:style>
  <w:style w:type="paragraph" w:styleId="719">
    <w:name w:val="Основной текст4"/>
    <w:basedOn w:val="708"/>
    <w:next w:val="719"/>
    <w:link w:val="708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20">
    <w:name w:val="Основной текст15"/>
    <w:basedOn w:val="708"/>
    <w:next w:val="720"/>
    <w:link w:val="708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21">
    <w:name w:val="Основной текст + 13;5 pt;Малые прописные;Интервал 0 pt"/>
    <w:next w:val="721"/>
    <w:link w:val="708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character" w:styleId="722">
    <w:name w:val="Основной текст1"/>
    <w:next w:val="722"/>
    <w:link w:val="708"/>
    <w:pPr>
      <w:pBdr/>
      <w:spacing/>
      <w:ind/>
    </w:pPr>
    <w:rPr>
      <w:rFonts w:ascii="Times New Roman" w:hAnsi="Times New Roman" w:eastAsia="Times New Roman" w:cs="Times New Roman"/>
      <w:spacing w:val="23"/>
      <w:sz w:val="25"/>
      <w:szCs w:val="25"/>
      <w:shd w:val="clear" w:color="auto" w:fill="ffffff"/>
    </w:rPr>
  </w:style>
  <w:style w:type="paragraph" w:styleId="723">
    <w:name w:val="Основной текст3"/>
    <w:basedOn w:val="708"/>
    <w:next w:val="723"/>
    <w:link w:val="708"/>
    <w:pPr>
      <w:pBdr/>
      <w:shd w:val="clear" w:color="auto" w:fill="ffffff"/>
      <w:spacing w:after="720" w:line="0" w:lineRule="atLeast"/>
      <w:ind/>
      <w:jc w:val="both"/>
    </w:pPr>
    <w:rPr>
      <w:rFonts w:ascii="Times New Roman" w:hAnsi="Times New Roman" w:eastAsia="Times New Roman" w:cs="Times New Roman"/>
      <w:spacing w:val="2"/>
      <w:sz w:val="25"/>
      <w:szCs w:val="25"/>
      <w:lang w:val="ru"/>
    </w:rPr>
  </w:style>
  <w:style w:type="character" w:styleId="724">
    <w:name w:val="Основной текст + 13 pt"/>
    <w:next w:val="724"/>
    <w:link w:val="708"/>
    <w:pPr>
      <w:pBdr/>
      <w:spacing/>
      <w:ind/>
    </w:pPr>
    <w:rPr>
      <w:rFonts w:ascii="Times New Roman" w:hAnsi="Times New Roman" w:eastAsia="Times New Roman" w:cs="Times New Roman"/>
      <w:spacing w:val="-3"/>
      <w:sz w:val="25"/>
      <w:szCs w:val="25"/>
      <w:shd w:val="clear" w:color="auto" w:fill="ffffff"/>
    </w:rPr>
  </w:style>
  <w:style w:type="character" w:styleId="725">
    <w:name w:val="Заголовок №12"/>
    <w:next w:val="725"/>
    <w:link w:val="708"/>
    <w:pPr>
      <w:pBdr/>
      <w:spacing/>
      <w:ind/>
    </w:pPr>
    <w:rPr>
      <w:rFonts w:ascii="Times New Roman" w:hAnsi="Times New Roman" w:eastAsia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726">
    <w:name w:val="Заголовок №11"/>
    <w:basedOn w:val="708"/>
    <w:next w:val="726"/>
    <w:link w:val="708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character" w:styleId="727">
    <w:name w:val="Знак Знак"/>
    <w:next w:val="727"/>
    <w:link w:val="708"/>
    <w:pPr>
      <w:pBdr/>
      <w:spacing/>
      <w:ind/>
    </w:pPr>
    <w:rPr>
      <w:sz w:val="24"/>
      <w:lang w:val="ru-RU" w:eastAsia="ru-RU" w:bidi="ar-SA"/>
    </w:rPr>
  </w:style>
  <w:style w:type="character" w:styleId="728">
    <w:name w:val="apple-converted-space"/>
    <w:basedOn w:val="709"/>
    <w:next w:val="728"/>
    <w:link w:val="708"/>
    <w:pPr>
      <w:pBdr/>
      <w:spacing/>
      <w:ind/>
    </w:pPr>
  </w:style>
  <w:style w:type="paragraph" w:styleId="729">
    <w:name w:val="Обычный (веб)"/>
    <w:basedOn w:val="708"/>
    <w:next w:val="729"/>
    <w:link w:val="708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color w:val="000000"/>
    </w:rPr>
  </w:style>
  <w:style w:type="paragraph" w:styleId="730">
    <w:name w:val="Default"/>
    <w:next w:val="730"/>
    <w:link w:val="708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731">
    <w:name w:val="Верхний колонтитул"/>
    <w:basedOn w:val="708"/>
    <w:next w:val="731"/>
    <w:link w:val="73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2">
    <w:name w:val="Верхний колонтитул Знак"/>
    <w:next w:val="732"/>
    <w:link w:val="731"/>
    <w:uiPriority w:val="99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  <w:style w:type="paragraph" w:styleId="733">
    <w:name w:val="Нижний колонтитул"/>
    <w:basedOn w:val="708"/>
    <w:next w:val="733"/>
    <w:link w:val="73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4">
    <w:name w:val="Нижний колонтитул Знак"/>
    <w:next w:val="734"/>
    <w:link w:val="733"/>
    <w:uiPriority w:val="99"/>
    <w:pPr>
      <w:pBdr/>
      <w:spacing/>
      <w:ind/>
    </w:pPr>
    <w:rPr>
      <w:rFonts w:ascii="Tahoma" w:hAnsi="Tahoma" w:eastAsia="Tahoma" w:cs="Tahoma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2024-01-17T08:56:00Z</dcterms:created>
  <dcterms:modified xsi:type="dcterms:W3CDTF">2026-01-30T06:32:03Z</dcterms:modified>
  <cp:version>1048576</cp:version>
</cp:coreProperties>
</file>